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695C">
      <w:pPr>
        <w:pStyle w:val="5"/>
        <w:spacing w:beforeAutospacing="0" w:afterAutospacing="0" w:line="64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3" w:name="_GoBack"/>
      <w:bookmarkEnd w:id="3"/>
    </w:p>
    <w:p w14:paraId="7514C0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陕西省医疗保障局</w:t>
      </w:r>
    </w:p>
    <w:p w14:paraId="447F2B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年政府信息公开工作年度报告</w:t>
      </w:r>
    </w:p>
    <w:p w14:paraId="72A4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ascii="仿宋_GB2312" w:hAnsi="仿宋_GB2312" w:eastAsia="仿宋_GB2312" w:cs="仿宋_GB2312"/>
          <w:bCs/>
          <w:sz w:val="44"/>
          <w:szCs w:val="44"/>
        </w:rPr>
      </w:pPr>
    </w:p>
    <w:p w14:paraId="1D2C41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报告根据《中华人民共和国政府信息公开条例》（以下简称《条例》）编制，报告主要内容有总体情况、主动公开政府信息情况、收到和处理政府信息公开申请情况、政府信息公开行政复议和行政诉讼情况、存在的主要问题及改进情况、其他需要报告的事项等6部分组成，所列数据统计时限为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年1月1日至2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年12月31日止。报告电子版可通过陕西省医疗保障局官方网站（http://ybj.shaanxi.gov.cn/)浏览查询。</w:t>
      </w:r>
    </w:p>
    <w:p w14:paraId="06CDEE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一、总体情况</w:t>
      </w:r>
    </w:p>
    <w:p w14:paraId="5B4912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25年，省医保局坚持以习近平新时代中国特色社会主义思想为指导，全面贯彻党的二十大和二十届历次全会精神，深入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省委十四届七次、八次全会精神，扎实开展深入贯彻中央八项规定精神学习教育，持续深化“三个年”活动，助力打好“八场硬仗”，一体推进医保改革、精细管理和优化服务，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陕西医保事业取得新进展新成效。</w:t>
      </w:r>
    </w:p>
    <w:p w14:paraId="6517AE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（一）积极做好政府信息主动公开</w:t>
      </w:r>
    </w:p>
    <w:p w14:paraId="027091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一是主动做好日常政府信息公开。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结合群众关切和工作实际，在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新版国家医保药品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目录在陕落地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、惠民医保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、特药扩容、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医疗服务项目价格调整、支付方式改革、医保基金管理突出问题专项整治、经办服务体系建设、职工医保个账实现跨省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家庭共济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25年城乡居民医保缴费等工作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方面积极做好政府信息公开。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2025年，省级以上主流媒体刊发医保相关报道740余篇。</w:t>
      </w:r>
    </w:p>
    <w:p w14:paraId="16807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二是及时公开人大代表建议和政协委员提案办理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我局共承办省十四届人大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次会议代表建议和省政协十三届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次会议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提案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件（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人大建议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28件、政协提案33件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截止7月底，61件建议提案均已办结，办理结果及时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在我局网站“建议提案”栏目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，接受指导监督。我局连续五年荣获政协提案“先进承办单位”。</w:t>
      </w:r>
    </w:p>
    <w:bookmarkEnd w:id="0"/>
    <w:p w14:paraId="0A559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（二）依法依规开展依申请公开工作</w:t>
      </w:r>
    </w:p>
    <w:p w14:paraId="7FE183C8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陕西省政府信息公开规定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陕西省医疗保障局信息公开指南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，积极依法依规办理依申请公开信件，本年度依申请公开共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件均已按照相关规程办理完结。</w:t>
      </w:r>
    </w:p>
    <w:p w14:paraId="0BC862E7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  <w:t>（三）切实加强政府信息管理</w:t>
      </w:r>
    </w:p>
    <w:p w14:paraId="248FC4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严格落实《中华人民共和国保守国家秘密法》《条例》规定，健全完善保密审查机制，对拟公开的信息依法依规严格做好保密审查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面落实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“先审查、后公开，谁审查、谁负责”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，确保政府信息公开的及时性和准确性。</w:t>
      </w:r>
    </w:p>
    <w:p w14:paraId="0C5A17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（四）强化政府信息公开平台建设</w:t>
      </w:r>
    </w:p>
    <w:p w14:paraId="037C08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发挥局网站和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的宣传作用，保持每日更新。2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年度局网站共发布信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息3465条，累计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总浏览量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623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万余人次；“陕西医保”微信公众号发布信息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2453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总浏览量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282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万余人次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，总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订阅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万余人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充分展示医保为民良好形象。</w:t>
      </w:r>
    </w:p>
    <w:p w14:paraId="5BBC1F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（五）加强监督保障</w:t>
      </w:r>
    </w:p>
    <w:p w14:paraId="1F33ED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我局积极参加2025年度省政府政务公开办组织的政务公开工作相关培训，组织局机关政务公开相关人员传达培训内容，提升政务公开实务能力。</w:t>
      </w:r>
    </w:p>
    <w:p w14:paraId="6CB6FF31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221" w:afterLines="5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bookmarkStart w:id="1" w:name="OLE_LINK3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二、主动公开政府信息情况</w:t>
      </w:r>
    </w:p>
    <w:tbl>
      <w:tblPr>
        <w:tblStyle w:val="6"/>
        <w:tblW w:w="899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6"/>
        <w:gridCol w:w="2248"/>
        <w:gridCol w:w="2247"/>
        <w:gridCol w:w="2249"/>
      </w:tblGrid>
      <w:tr w14:paraId="3FF3B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89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70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第二十条第（一）项</w:t>
            </w:r>
          </w:p>
        </w:tc>
      </w:tr>
      <w:tr w14:paraId="045C4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B5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87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67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B6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现行有效件数</w:t>
            </w:r>
          </w:p>
        </w:tc>
      </w:tr>
      <w:tr w14:paraId="495F91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C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规章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9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83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7F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4324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7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4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81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6E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26890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9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EA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第二十条第（五）项</w:t>
            </w:r>
          </w:p>
        </w:tc>
      </w:tr>
      <w:tr w14:paraId="3288D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44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4A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30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本年处理决定数量</w:t>
            </w:r>
          </w:p>
        </w:tc>
      </w:tr>
      <w:tr w14:paraId="42789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44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57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1C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3BAA2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9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AF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第二十条第（六）项</w:t>
            </w:r>
          </w:p>
        </w:tc>
      </w:tr>
      <w:tr w14:paraId="5DDA5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44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91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44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99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本年处理决定数量</w:t>
            </w:r>
          </w:p>
        </w:tc>
      </w:tr>
      <w:tr w14:paraId="4B8DE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44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D9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9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39CF6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44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B7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6E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39605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9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6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第二十条第（八）项</w:t>
            </w:r>
          </w:p>
        </w:tc>
      </w:tr>
      <w:tr w14:paraId="087AF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44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E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F8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40BF6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44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AF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C7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bookmarkEnd w:id="1"/>
    </w:tbl>
    <w:p w14:paraId="4D02D69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21" w:beforeLines="50" w:beforeAutospacing="0" w:after="221" w:afterLines="50" w:afterAutospacing="0"/>
        <w:ind w:firstLine="640" w:firstLineChars="200"/>
        <w:jc w:val="both"/>
        <w:textAlignment w:val="auto"/>
        <w:rPr>
          <w:rFonts w:ascii="黑体" w:hAnsi="仿宋_GB2312" w:eastAsia="黑体" w:cs="仿宋_GB2312"/>
          <w:color w:val="000000"/>
          <w:sz w:val="32"/>
          <w:szCs w:val="32"/>
        </w:rPr>
      </w:pPr>
      <w:bookmarkStart w:id="2" w:name="OLE_LINK4"/>
      <w:r>
        <w:rPr>
          <w:rFonts w:hint="eastAsia" w:ascii="黑体" w:hAnsi="仿宋_GB2312" w:eastAsia="黑体" w:cs="仿宋_GB2312"/>
          <w:color w:val="000000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1"/>
        <w:gridCol w:w="1074"/>
        <w:gridCol w:w="3112"/>
        <w:gridCol w:w="683"/>
        <w:gridCol w:w="683"/>
        <w:gridCol w:w="683"/>
        <w:gridCol w:w="683"/>
        <w:gridCol w:w="683"/>
        <w:gridCol w:w="683"/>
        <w:gridCol w:w="683"/>
      </w:tblGrid>
      <w:tr w14:paraId="6F9342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B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7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9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申请人情况</w:t>
            </w:r>
          </w:p>
        </w:tc>
      </w:tr>
      <w:tr w14:paraId="24A45A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93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29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3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9D7F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总计</w:t>
            </w:r>
          </w:p>
        </w:tc>
      </w:tr>
      <w:tr w14:paraId="7839EC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0" w:hRule="atLeast"/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06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D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7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商业</w:t>
            </w:r>
          </w:p>
          <w:p w14:paraId="53FD7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C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</w:t>
            </w:r>
          </w:p>
          <w:p w14:paraId="1C210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7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1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C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3E69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D43A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264E8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9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1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8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C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C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9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2AD08F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5264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0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D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B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5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4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7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2A8F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7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3F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4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0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F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1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4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E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2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7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D2AE5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8779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21528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7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5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2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A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3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E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E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63CE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425F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F563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0ED3A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B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2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E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B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0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E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7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5211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C0B3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1951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44DDE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6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5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A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5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0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3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A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7004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74B5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D4AA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D8358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A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2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2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A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1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1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A77D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9C10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751A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9A741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A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E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E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A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B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E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7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243E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7503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D2AC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0C6F4"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5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6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2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6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E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9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5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5E191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6F1B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4020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6FA4C"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3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F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A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C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9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4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6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F11F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BDB5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4658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754C1"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A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9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0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B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C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8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0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FF0E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14E9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7720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F1623"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8.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7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8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4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F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7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9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A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ED1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63B7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DF206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E6E5F">
            <w:pPr>
              <w:widowControl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2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B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8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2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1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8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4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6C03E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D1E5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E8B0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239EA">
            <w:pPr>
              <w:widowControl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7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E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4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2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3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8A0E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154A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5209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BE006"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4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0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A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E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1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B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6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B550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4061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CC22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73A3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信访举报投诉类申请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9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C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1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1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C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1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F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6FA3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5339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113B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1C8A4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E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0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9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2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1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F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DCA96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99B2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1F9C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C51E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要求提供公开出版物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0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3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C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7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F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0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6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487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18E3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558B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1BFB3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2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8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9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3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E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3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1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EFFF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0055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DD6E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F61DD"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要求行政机关确认或重新出具已获取信息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2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0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0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F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5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A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75A1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6A33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4ECB6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D550F"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A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8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8"/>
                <w:rFonts w:eastAsia="仿宋_GB231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C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8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A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1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6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5821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1430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F1A9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553FD"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F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9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4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3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2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C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2DE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8039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5D66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DA75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C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D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9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D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E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D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413C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E4CB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5DA5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1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9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D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0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7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1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9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162413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15B30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776F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368A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D9D1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2889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24BD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9541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C96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 xml:space="preserve"> </w:t>
            </w:r>
          </w:p>
        </w:tc>
      </w:tr>
    </w:tbl>
    <w:p w14:paraId="4B3CCC86">
      <w:pPr>
        <w:pStyle w:val="5"/>
        <w:widowControl/>
        <w:spacing w:before="219" w:beforeLines="50" w:beforeAutospacing="0" w:after="219" w:afterLines="50" w:afterAutospacing="0"/>
        <w:ind w:firstLine="640" w:firstLineChars="200"/>
        <w:jc w:val="both"/>
        <w:rPr>
          <w:rFonts w:ascii="黑体" w:hAnsi="仿宋_GB2312" w:eastAsia="黑体" w:cs="仿宋_GB2312"/>
          <w:color w:val="00000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z w:val="32"/>
          <w:szCs w:val="32"/>
        </w:rPr>
        <w:t>四、政府信息公开行政复议、行政诉讼情况</w:t>
      </w:r>
    </w:p>
    <w:tbl>
      <w:tblPr>
        <w:tblStyle w:val="6"/>
        <w:tblpPr w:leftFromText="180" w:rightFromText="180" w:vertAnchor="text" w:horzAnchor="page" w:tblpX="1274" w:tblpY="11"/>
        <w:tblOverlap w:val="never"/>
        <w:tblW w:w="92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546"/>
        <w:gridCol w:w="546"/>
        <w:gridCol w:w="546"/>
        <w:gridCol w:w="546"/>
        <w:gridCol w:w="735"/>
        <w:gridCol w:w="720"/>
        <w:gridCol w:w="750"/>
        <w:gridCol w:w="735"/>
        <w:gridCol w:w="495"/>
        <w:gridCol w:w="660"/>
        <w:gridCol w:w="675"/>
        <w:gridCol w:w="675"/>
        <w:gridCol w:w="664"/>
        <w:gridCol w:w="456"/>
      </w:tblGrid>
      <w:tr w14:paraId="5F9B21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27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8DC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行政复议</w:t>
            </w:r>
          </w:p>
        </w:tc>
        <w:tc>
          <w:tcPr>
            <w:tcW w:w="65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92B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行政诉讼</w:t>
            </w:r>
          </w:p>
        </w:tc>
      </w:tr>
      <w:tr w14:paraId="15C5A2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5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988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结果维持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C1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结果纠正</w:t>
            </w:r>
          </w:p>
        </w:tc>
        <w:tc>
          <w:tcPr>
            <w:tcW w:w="5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B69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其他结果</w:t>
            </w:r>
          </w:p>
        </w:tc>
        <w:tc>
          <w:tcPr>
            <w:tcW w:w="5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F3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尚未审结</w:t>
            </w:r>
          </w:p>
        </w:tc>
        <w:tc>
          <w:tcPr>
            <w:tcW w:w="5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CA1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总计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E7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未经复议直接起诉</w:t>
            </w:r>
          </w:p>
        </w:tc>
        <w:tc>
          <w:tcPr>
            <w:tcW w:w="31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930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复议后起诉</w:t>
            </w:r>
          </w:p>
        </w:tc>
      </w:tr>
      <w:tr w14:paraId="20DC0E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8A0A">
            <w:pPr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B6C9">
            <w:pPr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F177">
            <w:pPr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2541">
            <w:pPr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D43A">
            <w:pPr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15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结果维持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6AB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结果纠正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EF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其他结果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D5E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尚未审结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48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总计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63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结果</w:t>
            </w:r>
          </w:p>
          <w:p w14:paraId="36C328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维持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7E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结果</w:t>
            </w:r>
          </w:p>
          <w:p w14:paraId="062FBBF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纠正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9B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其他</w:t>
            </w:r>
          </w:p>
          <w:p w14:paraId="500C428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结果</w:t>
            </w:r>
          </w:p>
        </w:tc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61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尚未</w:t>
            </w:r>
          </w:p>
          <w:p w14:paraId="7F586B0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审结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615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</w:rPr>
              <w:t>总计</w:t>
            </w:r>
          </w:p>
        </w:tc>
      </w:tr>
      <w:tr w14:paraId="7AFBD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B39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C5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E9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79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6EB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4D5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BE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DA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2C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414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26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35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C0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C7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01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bookmarkEnd w:id="2"/>
    </w:tbl>
    <w:p w14:paraId="713C0EEC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7A518F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年，我局政府信息公开工作取得了一定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成效</w:t>
      </w:r>
      <w:r>
        <w:rPr>
          <w:rFonts w:hint="eastAsia" w:ascii="仿宋_GB2312" w:hAnsi="仿宋_GB2312" w:eastAsia="仿宋_GB2312" w:cs="仿宋_GB2312"/>
          <w:szCs w:val="32"/>
        </w:rPr>
        <w:t>，但仍存在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省级网站集约化平台应用有待提高</w:t>
      </w:r>
      <w:r>
        <w:rPr>
          <w:rFonts w:hint="eastAsia" w:ascii="仿宋_GB2312" w:hAnsi="仿宋_GB2312" w:eastAsia="仿宋_GB2312" w:cs="仿宋_GB2312"/>
          <w:szCs w:val="32"/>
        </w:rPr>
        <w:t>、政策解读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数量较少</w:t>
      </w:r>
      <w:r>
        <w:rPr>
          <w:rFonts w:hint="eastAsia" w:ascii="仿宋_GB2312" w:hAnsi="仿宋_GB2312" w:eastAsia="仿宋_GB2312" w:cs="仿宋_GB2312"/>
          <w:szCs w:val="32"/>
        </w:rPr>
        <w:t>等问题。下一步，我局将持续提高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省级网站集约化平台</w:t>
      </w:r>
      <w:r>
        <w:rPr>
          <w:rFonts w:hint="eastAsia" w:ascii="仿宋_GB2312" w:hAnsi="仿宋_GB2312" w:eastAsia="仿宋_GB2312" w:cs="仿宋_GB2312"/>
          <w:szCs w:val="32"/>
        </w:rPr>
        <w:t>功能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szCs w:val="32"/>
        </w:rPr>
        <w:t>和服务能力建设，持续丰富政策解读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Cs w:val="32"/>
        </w:rPr>
        <w:t>类型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和发布数量</w:t>
      </w:r>
      <w:r>
        <w:rPr>
          <w:rFonts w:hint="eastAsia" w:ascii="仿宋_GB2312" w:hAnsi="仿宋_GB2312" w:eastAsia="仿宋_GB2312" w:cs="仿宋_GB2312"/>
          <w:szCs w:val="32"/>
        </w:rPr>
        <w:t>，不断提高政府信息公开工作水平，更好地服务参保群众。</w:t>
      </w:r>
    </w:p>
    <w:p w14:paraId="10FDDAF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六、其他需要报告的事项</w:t>
      </w:r>
    </w:p>
    <w:p w14:paraId="73FD263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Cs w:val="32"/>
        </w:rPr>
        <w:t>年度我局无政府信息公开信息处理费。</w:t>
      </w:r>
    </w:p>
    <w:p w14:paraId="04A4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E274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sz w:val="32"/>
          <w:szCs w:val="32"/>
        </w:rPr>
      </w:pPr>
    </w:p>
    <w:p w14:paraId="01FE1E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sz w:val="32"/>
          <w:szCs w:val="32"/>
        </w:rPr>
      </w:pPr>
    </w:p>
    <w:p w14:paraId="241B6277">
      <w:pPr>
        <w:spacing w:line="560" w:lineRule="exact"/>
        <w:ind w:left="0" w:leftChars="0" w:firstLine="5360" w:firstLineChars="1675"/>
        <w:rPr>
          <w:rFonts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陕西省医疗保障局 </w:t>
      </w:r>
    </w:p>
    <w:p w14:paraId="783ABD31">
      <w:pPr>
        <w:tabs>
          <w:tab w:val="left" w:pos="7680"/>
        </w:tabs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Cs w:val="32"/>
        </w:rPr>
        <w:t>年1月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Cs w:val="32"/>
        </w:rPr>
        <w:t>日</w:t>
      </w:r>
    </w:p>
    <w:sectPr>
      <w:footerReference r:id="rId3" w:type="default"/>
      <w:pgSz w:w="11906" w:h="16838"/>
      <w:pgMar w:top="1701" w:right="1417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E7D0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D64E9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2pt;width:15.5pt;mso-position-horizontal:center;mso-position-horizontal-relative:margin;z-index:251659264;mso-width-relative:page;mso-height-relative:page;" filled="f" stroked="f" coordsize="21600,21600" o:gfxdata="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1mIczSAAAAAwEAAA8AAAAAAAAAAQAgAAAAIgAAAGRycy9kb3ducmV2LnhtbFBL&#10;AQIUABQAAAAIAIdO4kBywWPo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CD64E9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264B0"/>
    <w:rsid w:val="05677CE7"/>
    <w:rsid w:val="28BE0FCB"/>
    <w:rsid w:val="35D75A85"/>
    <w:rsid w:val="393C4613"/>
    <w:rsid w:val="3A58024F"/>
    <w:rsid w:val="3E215975"/>
    <w:rsid w:val="3E9E6540"/>
    <w:rsid w:val="3FFF5F61"/>
    <w:rsid w:val="49E03CE3"/>
    <w:rsid w:val="514B219A"/>
    <w:rsid w:val="59981172"/>
    <w:rsid w:val="5B4E51F6"/>
    <w:rsid w:val="650F6883"/>
    <w:rsid w:val="65E616AF"/>
    <w:rsid w:val="7342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01"/>
    <w:basedOn w:val="7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1372</Words>
  <Characters>1449</Characters>
  <Lines>0</Lines>
  <Paragraphs>0</Paragraphs>
  <TotalTime>9</TotalTime>
  <ScaleCrop>false</ScaleCrop>
  <LinksUpToDate>false</LinksUpToDate>
  <CharactersWithSpaces>1452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2026-01-04T07:08:00Z</dcterms:created>
  <dc:creator>Lenovo</dc:creator>
  <cp:lastModifiedBy>Mr. H</cp:lastModifiedBy>
  <dcterms:modified xsi:type="dcterms:W3CDTF">2026-01-13T09:10:23Z</dcterms:modified>
  <dc:title>陕西省医疗保障局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3298FB8B3DFA4EFE8D02BC44B04DFBFB_13</vt:lpwstr>
  </property>
</Properties>
</file>